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747EE8" w:rsidRDefault="00C145F0" w:rsidP="00C145F0">
      <w:pPr>
        <w:rPr>
          <w:rFonts w:cs="Arial"/>
          <w:b/>
          <w:sz w:val="28"/>
          <w:szCs w:val="28"/>
          <w:lang w:val="en-ZA"/>
        </w:rPr>
      </w:pPr>
      <w:r w:rsidRPr="00747EE8">
        <w:rPr>
          <w:rFonts w:cs="Arial"/>
          <w:b/>
          <w:sz w:val="28"/>
          <w:szCs w:val="28"/>
          <w:lang w:val="en-ZA"/>
        </w:rPr>
        <w:t>Market Notice</w:t>
      </w:r>
    </w:p>
    <w:p w:rsidR="00C145F0" w:rsidRPr="00747EE8" w:rsidRDefault="00C145F0" w:rsidP="00C145F0">
      <w:pPr>
        <w:rPr>
          <w:rFonts w:cs="Arial"/>
          <w:b/>
          <w:lang w:val="en-ZA"/>
        </w:rPr>
      </w:pPr>
    </w:p>
    <w:p w:rsidR="00C145F0" w:rsidRPr="00747EE8" w:rsidRDefault="00C145F0" w:rsidP="00C145F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C145F0" w:rsidRPr="00747EE8" w:rsidRDefault="00C145F0" w:rsidP="00C145F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47EE8">
        <w:rPr>
          <w:rFonts w:cs="Arial"/>
          <w:b/>
          <w:sz w:val="18"/>
          <w:szCs w:val="18"/>
          <w:lang w:val="en-ZA"/>
        </w:rPr>
        <w:t>Date:</w:t>
      </w:r>
      <w:r w:rsidRPr="00747EE8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23 August 2012</w:t>
      </w:r>
    </w:p>
    <w:p w:rsidR="00C145F0" w:rsidRPr="00747EE8" w:rsidRDefault="00C145F0" w:rsidP="00C145F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145F0" w:rsidRPr="00747EE8" w:rsidRDefault="00C145F0" w:rsidP="00C145F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145F0" w:rsidRPr="00747EE8" w:rsidRDefault="00C145F0" w:rsidP="00C145F0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47EE8">
        <w:rPr>
          <w:rFonts w:cs="Arial"/>
          <w:b/>
          <w:smallCaps/>
          <w:sz w:val="18"/>
          <w:szCs w:val="18"/>
          <w:lang w:val="en-ZA"/>
        </w:rPr>
        <w:t>Subject:</w:t>
      </w:r>
      <w:r w:rsidRPr="00747EE8">
        <w:rPr>
          <w:rFonts w:cs="Arial"/>
          <w:b/>
          <w:sz w:val="18"/>
          <w:szCs w:val="18"/>
          <w:lang w:val="en-ZA"/>
        </w:rPr>
        <w:t xml:space="preserve">   </w:t>
      </w:r>
      <w:r w:rsidR="00473267">
        <w:rPr>
          <w:sz w:val="18"/>
          <w:szCs w:val="18"/>
          <w:lang w:val="en-ZA"/>
        </w:rPr>
        <w:t>Full Capital Repurchase</w:t>
      </w:r>
      <w:r w:rsidRPr="00747EE8">
        <w:rPr>
          <w:rFonts w:cs="Arial"/>
          <w:sz w:val="18"/>
          <w:szCs w:val="18"/>
          <w:lang w:val="en-ZA"/>
        </w:rPr>
        <w:tab/>
      </w:r>
    </w:p>
    <w:p w:rsidR="00C145F0" w:rsidRPr="00747EE8" w:rsidRDefault="00C145F0" w:rsidP="00C145F0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47EE8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SA </w:t>
      </w:r>
      <w:r w:rsidR="00473267">
        <w:rPr>
          <w:rFonts w:cs="Arial"/>
          <w:b/>
          <w:i/>
          <w:sz w:val="18"/>
          <w:szCs w:val="18"/>
          <w:lang w:val="en-ZA"/>
        </w:rPr>
        <w:t>LTD</w:t>
      </w:r>
      <w:r w:rsidR="00473267" w:rsidRPr="00747EE8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747EE8">
        <w:rPr>
          <w:rFonts w:cs="Arial"/>
          <w:b/>
          <w:i/>
          <w:sz w:val="18"/>
          <w:szCs w:val="18"/>
          <w:lang w:val="en-ZA"/>
        </w:rPr>
        <w:t>“</w:t>
      </w:r>
      <w:r w:rsidR="00473267">
        <w:rPr>
          <w:rFonts w:cs="Arial"/>
          <w:b/>
          <w:i/>
          <w:sz w:val="18"/>
          <w:szCs w:val="18"/>
          <w:lang w:val="en-ZA"/>
        </w:rPr>
        <w:t>CLN16</w:t>
      </w:r>
      <w:r w:rsidR="00EF2393">
        <w:rPr>
          <w:rFonts w:cs="Arial"/>
          <w:b/>
          <w:i/>
          <w:sz w:val="18"/>
          <w:szCs w:val="18"/>
          <w:lang w:val="en-ZA"/>
        </w:rPr>
        <w:t>9, CLN172</w:t>
      </w:r>
      <w:bookmarkStart w:id="0" w:name="_GoBack"/>
      <w:bookmarkEnd w:id="0"/>
      <w:r w:rsidR="00473267">
        <w:rPr>
          <w:rFonts w:cs="Arial"/>
          <w:b/>
          <w:i/>
          <w:sz w:val="18"/>
          <w:szCs w:val="18"/>
          <w:lang w:val="en-ZA"/>
        </w:rPr>
        <w:t>”)</w:t>
      </w:r>
    </w:p>
    <w:p w:rsidR="00C145F0" w:rsidRPr="00747EE8" w:rsidRDefault="00C145F0" w:rsidP="00C145F0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C145F0" w:rsidRPr="00747EE8" w:rsidRDefault="00C145F0" w:rsidP="00C145F0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47EE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C145F0" w:rsidRPr="004647A4" w:rsidRDefault="00C145F0" w:rsidP="00C145F0">
      <w:pPr>
        <w:suppressAutoHyphens/>
        <w:spacing w:line="360" w:lineRule="auto"/>
        <w:jc w:val="both"/>
        <w:rPr>
          <w:sz w:val="18"/>
          <w:szCs w:val="18"/>
          <w:lang w:val="en-ZA"/>
        </w:rPr>
      </w:pPr>
    </w:p>
    <w:p w:rsidR="00C145F0" w:rsidRPr="004647A4" w:rsidRDefault="00C145F0" w:rsidP="00C145F0">
      <w:pPr>
        <w:spacing w:line="360" w:lineRule="auto"/>
        <w:ind w:right="68"/>
        <w:jc w:val="both"/>
        <w:rPr>
          <w:sz w:val="18"/>
          <w:szCs w:val="18"/>
          <w:lang w:val="en-ZA"/>
        </w:rPr>
      </w:pPr>
      <w:r w:rsidRPr="004647A4">
        <w:rPr>
          <w:sz w:val="18"/>
          <w:szCs w:val="18"/>
          <w:lang w:val="en-ZA"/>
        </w:rPr>
        <w:t xml:space="preserve">In accordance with the Terms and Conditions of </w:t>
      </w:r>
      <w:r>
        <w:rPr>
          <w:rFonts w:cs="Arial"/>
          <w:b/>
          <w:sz w:val="18"/>
          <w:szCs w:val="18"/>
          <w:lang w:val="en-ZA"/>
        </w:rPr>
        <w:t>THE STANDARD BANK OF SA LTD</w:t>
      </w:r>
      <w:r w:rsidRPr="004647A4">
        <w:rPr>
          <w:sz w:val="18"/>
          <w:szCs w:val="18"/>
          <w:lang w:val="en-ZA"/>
        </w:rPr>
        <w:t xml:space="preserve"> notes, investors are herewith advised of the </w:t>
      </w:r>
      <w:r w:rsidR="00473267">
        <w:rPr>
          <w:sz w:val="18"/>
          <w:szCs w:val="18"/>
          <w:lang w:val="en-ZA"/>
        </w:rPr>
        <w:t>Full Capital Repurchase</w:t>
      </w:r>
      <w:r w:rsidRPr="004647A4">
        <w:rPr>
          <w:sz w:val="18"/>
          <w:szCs w:val="18"/>
          <w:lang w:val="en-ZA"/>
        </w:rPr>
        <w:t xml:space="preserve"> of the below notes effective </w:t>
      </w:r>
      <w:r w:rsidR="00473267">
        <w:rPr>
          <w:b/>
          <w:sz w:val="18"/>
          <w:szCs w:val="18"/>
          <w:lang w:val="en-ZA"/>
        </w:rPr>
        <w:t>24 August 2012.</w:t>
      </w:r>
    </w:p>
    <w:p w:rsidR="00C145F0" w:rsidRPr="004647A4" w:rsidRDefault="00C145F0" w:rsidP="00C145F0">
      <w:pPr>
        <w:spacing w:line="360" w:lineRule="auto"/>
        <w:ind w:right="720"/>
        <w:rPr>
          <w:sz w:val="18"/>
          <w:szCs w:val="18"/>
          <w:lang w:val="en-ZA"/>
        </w:rPr>
      </w:pPr>
    </w:p>
    <w:p w:rsidR="00C145F0" w:rsidRPr="00414426" w:rsidRDefault="00C145F0" w:rsidP="00C145F0">
      <w:pPr>
        <w:ind w:right="720"/>
        <w:rPr>
          <w:b/>
          <w:bCs/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747EE8" w:rsidTr="00C77608">
        <w:trPr>
          <w:jc w:val="center"/>
        </w:trPr>
        <w:tc>
          <w:tcPr>
            <w:tcW w:w="1871" w:type="dxa"/>
          </w:tcPr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 w:rsidRPr="00747EE8">
              <w:rPr>
                <w:rFonts w:eastAsia="Times New Roman"/>
                <w:b/>
                <w:sz w:val="18"/>
                <w:szCs w:val="18"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 w:rsidRPr="00747EE8">
              <w:rPr>
                <w:rFonts w:eastAsia="Times New Roman"/>
                <w:b/>
                <w:sz w:val="18"/>
                <w:szCs w:val="18"/>
                <w:lang w:val="en-ZA"/>
              </w:rPr>
              <w:t>Amount Outstanding After Capital Redemption</w:t>
            </w:r>
          </w:p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C145F0" w:rsidRPr="00747EE8" w:rsidTr="00C77608">
        <w:trPr>
          <w:jc w:val="center"/>
        </w:trPr>
        <w:tc>
          <w:tcPr>
            <w:tcW w:w="1871" w:type="dxa"/>
          </w:tcPr>
          <w:p w:rsidR="00C145F0" w:rsidRPr="00747EE8" w:rsidRDefault="00C145F0" w:rsidP="00C77608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CLN16</w:t>
            </w:r>
            <w:r w:rsidR="00EF2393">
              <w:rPr>
                <w:rFonts w:cs="Arial"/>
                <w:b/>
                <w:i/>
                <w:sz w:val="18"/>
                <w:szCs w:val="18"/>
                <w:lang w:val="en-ZA"/>
              </w:rPr>
              <w:t>9</w:t>
            </w:r>
          </w:p>
        </w:tc>
        <w:tc>
          <w:tcPr>
            <w:tcW w:w="2925" w:type="dxa"/>
          </w:tcPr>
          <w:p w:rsidR="00C145F0" w:rsidRPr="00747EE8" w:rsidRDefault="00C145F0" w:rsidP="00C77608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Pr="00747EE8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EF2393">
              <w:rPr>
                <w:rFonts w:cs="Arial"/>
                <w:sz w:val="18"/>
                <w:szCs w:val="18"/>
                <w:lang w:val="en-ZA"/>
              </w:rPr>
              <w:t>4</w:t>
            </w:r>
            <w:r>
              <w:rPr>
                <w:rFonts w:cs="Arial"/>
                <w:sz w:val="18"/>
                <w:szCs w:val="18"/>
                <w:lang w:val="en-ZA"/>
              </w:rPr>
              <w:t>0,000,000.00</w:t>
            </w:r>
          </w:p>
        </w:tc>
        <w:tc>
          <w:tcPr>
            <w:tcW w:w="399" w:type="dxa"/>
          </w:tcPr>
          <w:p w:rsidR="00C145F0" w:rsidRPr="00747EE8" w:rsidRDefault="00C145F0" w:rsidP="00C77608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473267">
            <w:pPr>
              <w:tabs>
                <w:tab w:val="left" w:pos="1293"/>
              </w:tabs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747EE8">
              <w:rPr>
                <w:rFonts w:eastAsia="Times New Roman"/>
                <w:sz w:val="18"/>
                <w:szCs w:val="18"/>
                <w:lang w:val="en-ZA"/>
              </w:rPr>
              <w:t xml:space="preserve">  R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Pr="00747EE8">
              <w:rPr>
                <w:rFonts w:eastAsia="Times New Roman"/>
                <w:sz w:val="18"/>
                <w:szCs w:val="18"/>
                <w:lang w:val="en-ZA"/>
              </w:rPr>
              <w:t>0.00</w:t>
            </w:r>
            <w:r w:rsidR="00473267">
              <w:rPr>
                <w:rFonts w:eastAsia="Times New Roman"/>
                <w:sz w:val="18"/>
                <w:szCs w:val="18"/>
                <w:lang w:val="en-ZA"/>
              </w:rPr>
              <w:tab/>
            </w:r>
          </w:p>
          <w:p w:rsidR="00473267" w:rsidRPr="00747EE8" w:rsidRDefault="00473267" w:rsidP="00473267">
            <w:pPr>
              <w:tabs>
                <w:tab w:val="left" w:pos="1293"/>
              </w:tabs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73267" w:rsidRPr="00747EE8" w:rsidTr="006F60B7">
        <w:trPr>
          <w:jc w:val="center"/>
        </w:trPr>
        <w:tc>
          <w:tcPr>
            <w:tcW w:w="1871" w:type="dxa"/>
          </w:tcPr>
          <w:p w:rsidR="00473267" w:rsidRPr="00747EE8" w:rsidRDefault="00473267" w:rsidP="006F60B7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CLN1</w:t>
            </w:r>
            <w:r w:rsidR="00EF2393">
              <w:rPr>
                <w:rFonts w:cs="Arial"/>
                <w:b/>
                <w:i/>
                <w:sz w:val="18"/>
                <w:szCs w:val="18"/>
                <w:lang w:val="en-ZA"/>
              </w:rPr>
              <w:t>72</w:t>
            </w:r>
          </w:p>
        </w:tc>
        <w:tc>
          <w:tcPr>
            <w:tcW w:w="2925" w:type="dxa"/>
          </w:tcPr>
          <w:p w:rsidR="00473267" w:rsidRPr="00747EE8" w:rsidRDefault="00473267" w:rsidP="006F60B7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Pr="00747EE8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EF2393">
              <w:rPr>
                <w:rFonts w:cs="Arial"/>
                <w:sz w:val="18"/>
                <w:szCs w:val="18"/>
                <w:lang w:val="en-ZA"/>
              </w:rPr>
              <w:t>44</w:t>
            </w:r>
            <w:r>
              <w:rPr>
                <w:rFonts w:cs="Arial"/>
                <w:sz w:val="18"/>
                <w:szCs w:val="18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473267" w:rsidRPr="00747EE8" w:rsidRDefault="00473267" w:rsidP="006F60B7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473267" w:rsidRDefault="00473267" w:rsidP="006F60B7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747EE8">
              <w:rPr>
                <w:rFonts w:eastAsia="Times New Roman"/>
                <w:sz w:val="18"/>
                <w:szCs w:val="18"/>
                <w:lang w:val="en-ZA"/>
              </w:rPr>
              <w:t xml:space="preserve">  R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Pr="00747EE8">
              <w:rPr>
                <w:rFonts w:eastAsia="Times New Roman"/>
                <w:sz w:val="18"/>
                <w:szCs w:val="18"/>
                <w:lang w:val="en-ZA"/>
              </w:rPr>
              <w:t>0.00</w:t>
            </w:r>
          </w:p>
          <w:p w:rsidR="00473267" w:rsidRDefault="00473267" w:rsidP="006F60B7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  <w:p w:rsidR="00473267" w:rsidRPr="00747EE8" w:rsidRDefault="00473267" w:rsidP="006F60B7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</w:tbl>
    <w:p w:rsidR="00473267" w:rsidRDefault="00473267" w:rsidP="0047326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C145F0" w:rsidRPr="00747EE8" w:rsidRDefault="00C145F0" w:rsidP="00C145F0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C145F0" w:rsidRPr="00747EE8" w:rsidRDefault="00C145F0" w:rsidP="00C145F0">
      <w:pPr>
        <w:pStyle w:val="BodyText"/>
        <w:spacing w:line="360" w:lineRule="auto"/>
        <w:rPr>
          <w:rFonts w:cs="Arial"/>
          <w:sz w:val="18"/>
          <w:szCs w:val="18"/>
          <w:lang w:val="en-ZA"/>
        </w:rPr>
      </w:pPr>
      <w:r w:rsidRPr="00747EE8">
        <w:rPr>
          <w:sz w:val="18"/>
          <w:szCs w:val="18"/>
          <w:lang w:val="en-ZA"/>
        </w:rPr>
        <w:t>For further information on the Note issued please contact:</w:t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  <w:r w:rsidRPr="00747EE8">
        <w:rPr>
          <w:rFonts w:cs="Arial"/>
          <w:sz w:val="18"/>
          <w:szCs w:val="18"/>
          <w:lang w:val="en-ZA"/>
        </w:rPr>
        <w:tab/>
      </w:r>
    </w:p>
    <w:p w:rsidR="00C145F0" w:rsidRPr="000A2F38" w:rsidRDefault="00C145F0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C145F0" w:rsidRPr="002F1779" w:rsidRDefault="00C145F0" w:rsidP="00CF26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C145F0" w:rsidRPr="00A9492E" w:rsidRDefault="00C145F0" w:rsidP="00C145F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145F0" w:rsidRDefault="00C145F0" w:rsidP="00C145F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85030" w:rsidRPr="002B0F81" w:rsidRDefault="00085030" w:rsidP="002B0F81"/>
    <w:sectPr w:rsidR="00085030" w:rsidRPr="002B0F81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B6DC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B6DC6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2B6DC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B6DC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B6DC6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2B6DC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B6D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23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23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267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393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10EFCE-B9CE-48B7-9B57-DD73FF6BAC2A}"/>
</file>

<file path=customXml/itemProps2.xml><?xml version="1.0" encoding="utf-8"?>
<ds:datastoreItem xmlns:ds="http://schemas.openxmlformats.org/officeDocument/2006/customXml" ds:itemID="{A0BE6E9B-F3AE-4465-BB0B-35669DE7FA21}"/>
</file>

<file path=customXml/itemProps3.xml><?xml version="1.0" encoding="utf-8"?>
<ds:datastoreItem xmlns:ds="http://schemas.openxmlformats.org/officeDocument/2006/customXml" ds:itemID="{5E08A375-4FA1-4D69-AD1B-E3BE8D3FE33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Kea Sape</cp:lastModifiedBy>
  <cp:revision>2</cp:revision>
  <cp:lastPrinted>2012-01-03T09:35:00Z</cp:lastPrinted>
  <dcterms:created xsi:type="dcterms:W3CDTF">2012-08-23T13:22:00Z</dcterms:created>
  <dcterms:modified xsi:type="dcterms:W3CDTF">2012-08-23T13:22:00Z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